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51052551"/>
        <w:docPartObj>
          <w:docPartGallery w:val="Cover Pages"/>
          <w:docPartUnique/>
        </w:docPartObj>
      </w:sdtPr>
      <w:sdtContent>
        <w:p w:rsidR="002837EE" w:rsidRDefault="002837EE"/>
      </w:sdtContent>
    </w:sdt>
    <w:p w:rsidR="00E355A4" w:rsidRDefault="00E355A4"/>
    <w:p w:rsidR="002837EE" w:rsidRDefault="002837EE"/>
    <w:p w:rsidR="002837EE" w:rsidRDefault="002837EE"/>
    <w:p w:rsidR="002837EE" w:rsidRDefault="002837EE"/>
    <w:p w:rsidR="002837EE" w:rsidRDefault="002837EE"/>
    <w:p w:rsidR="002837EE" w:rsidRDefault="002837EE"/>
    <w:p w:rsidR="002837EE" w:rsidRDefault="002837EE"/>
    <w:p w:rsidR="002837EE" w:rsidRDefault="002837EE"/>
    <w:p w:rsidR="002837EE" w:rsidRDefault="002837EE" w:rsidP="002837EE">
      <w:pPr>
        <w:spacing w:line="480" w:lineRule="auto"/>
        <w:jc w:val="center"/>
        <w:rPr>
          <w:rFonts w:ascii="Times New Roman" w:hAnsi="Times New Roman" w:cs="Times New Roman"/>
          <w:sz w:val="24"/>
          <w:szCs w:val="24"/>
        </w:rPr>
      </w:pPr>
      <w:r>
        <w:rPr>
          <w:rFonts w:ascii="Times New Roman" w:hAnsi="Times New Roman" w:cs="Times New Roman"/>
          <w:sz w:val="24"/>
          <w:szCs w:val="24"/>
        </w:rPr>
        <w:t>Milestone 3 Pre-Lab Assignment</w:t>
      </w: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837EE" w:rsidRDefault="002837EE" w:rsidP="002837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Milestone 3 Pre-Lab Assignment</w:t>
      </w:r>
    </w:p>
    <w:p w:rsidR="00285037" w:rsidRPr="00962DBF" w:rsidRDefault="00E14904" w:rsidP="00962DBF">
      <w:pPr>
        <w:pStyle w:val="ListParagraph"/>
        <w:numPr>
          <w:ilvl w:val="0"/>
          <w:numId w:val="1"/>
        </w:numPr>
        <w:spacing w:after="0"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As discussed in the Overview, due to the complex matrix involved, the method of standard additions will need to be employed for mercury quantitation via AAS. The table of data below is a sample set of data obtained from an AA spectrometer, similar to what you will acquire (and analyze) in the experiment. The data illustrates that this experiment began with seven 10 mL samples of digested and pre-concentrated fish solutions, which were individually spiked and analyzed. Use the provided data and the graphical method for standard additions (see your Quantitative Chemical Analysis textbook) to determine the concentration (in ppm by mass) of mercury in the un-spiked sample solution. Assume that each 10 mL sample was effectively constructed from 1.0 grams of dried fish flesh (i.e. the total 70 mL of all sample solutions came from 7.0 grams of dried fish tissue), calculate and report the total mercury content, in ppm by mass, in the original dried fish tissue. Make sure to include your standard addition plot that you constructed to perform this analysis in your pre-lab report. Hint: if you do not determine the concentration to be between 1.5 – 2.5 ppm, you have made a mistake!</w:t>
      </w:r>
    </w:p>
    <w:tbl>
      <w:tblPr>
        <w:tblStyle w:val="TableGrid"/>
        <w:tblW w:w="9172" w:type="dxa"/>
        <w:tblInd w:w="720" w:type="dxa"/>
        <w:tblLook w:val="04A0" w:firstRow="1" w:lastRow="0" w:firstColumn="1" w:lastColumn="0" w:noHBand="0" w:noVBand="1"/>
      </w:tblPr>
      <w:tblGrid>
        <w:gridCol w:w="4586"/>
        <w:gridCol w:w="4586"/>
      </w:tblGrid>
      <w:tr w:rsidR="00E14904" w:rsidRPr="00962DBF" w:rsidTr="00E14904">
        <w:trPr>
          <w:trHeight w:val="372"/>
        </w:trPr>
        <w:tc>
          <w:tcPr>
            <w:tcW w:w="9172" w:type="dxa"/>
            <w:gridSpan w:val="2"/>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Hg spike solution concentration: 100.0ppm</w:t>
            </w:r>
          </w:p>
        </w:tc>
      </w:tr>
      <w:tr w:rsidR="00E14904" w:rsidRPr="00962DBF" w:rsidTr="00E14904">
        <w:trPr>
          <w:trHeight w:val="383"/>
        </w:trPr>
        <w:tc>
          <w:tcPr>
            <w:tcW w:w="9172" w:type="dxa"/>
            <w:gridSpan w:val="2"/>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Density of all solutions: 1.00g/ml</w:t>
            </w:r>
          </w:p>
        </w:tc>
      </w:tr>
      <w:tr w:rsidR="00E14904" w:rsidRPr="00962DBF" w:rsidTr="00E14904">
        <w:trPr>
          <w:trHeight w:val="372"/>
        </w:trPr>
        <w:tc>
          <w:tcPr>
            <w:tcW w:w="9172" w:type="dxa"/>
            <w:gridSpan w:val="2"/>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Initial sample volume: 10:00ml</w:t>
            </w:r>
          </w:p>
        </w:tc>
      </w:tr>
      <w:tr w:rsidR="00E14904" w:rsidRPr="00962DBF" w:rsidTr="00E14904">
        <w:trPr>
          <w:trHeight w:val="383"/>
        </w:trPr>
        <w:tc>
          <w:tcPr>
            <w:tcW w:w="9172" w:type="dxa"/>
            <w:gridSpan w:val="2"/>
          </w:tcPr>
          <w:p w:rsidR="00E14904" w:rsidRPr="00962DBF" w:rsidRDefault="00E14904" w:rsidP="00962DBF">
            <w:pPr>
              <w:pStyle w:val="ListParagraph"/>
              <w:spacing w:line="480" w:lineRule="auto"/>
              <w:ind w:left="0" w:firstLine="720"/>
              <w:jc w:val="both"/>
              <w:rPr>
                <w:rFonts w:ascii="Times New Roman" w:hAnsi="Times New Roman" w:cs="Times New Roman"/>
                <w:b/>
                <w:sz w:val="24"/>
                <w:szCs w:val="24"/>
              </w:rPr>
            </w:pPr>
          </w:p>
        </w:tc>
      </w:tr>
      <w:tr w:rsidR="00E14904" w:rsidRPr="00962DBF" w:rsidTr="00E14904">
        <w:trPr>
          <w:trHeight w:val="372"/>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Measured Absorbance</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Spike Volume (mL)</w:t>
            </w:r>
          </w:p>
        </w:tc>
      </w:tr>
      <w:tr w:rsidR="00E14904" w:rsidRPr="00962DBF" w:rsidTr="00E14904">
        <w:trPr>
          <w:trHeight w:val="383"/>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0.01271</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0.00</w:t>
            </w:r>
          </w:p>
        </w:tc>
      </w:tr>
      <w:tr w:rsidR="00E14904" w:rsidRPr="00962DBF" w:rsidTr="00E14904">
        <w:trPr>
          <w:trHeight w:val="372"/>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0.01560</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0.05</w:t>
            </w:r>
          </w:p>
        </w:tc>
      </w:tr>
      <w:tr w:rsidR="00E14904" w:rsidRPr="00962DBF" w:rsidTr="00E14904">
        <w:trPr>
          <w:trHeight w:val="372"/>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lastRenderedPageBreak/>
              <w:t>0.01831</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0.10</w:t>
            </w:r>
          </w:p>
        </w:tc>
      </w:tr>
      <w:tr w:rsidR="00E14904" w:rsidRPr="00962DBF" w:rsidTr="00E14904">
        <w:trPr>
          <w:trHeight w:val="393"/>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0.02385</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0.20</w:t>
            </w:r>
          </w:p>
        </w:tc>
      </w:tr>
      <w:tr w:rsidR="00E14904" w:rsidRPr="00962DBF" w:rsidTr="00E14904">
        <w:trPr>
          <w:trHeight w:val="372"/>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0.02929</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0.30</w:t>
            </w:r>
          </w:p>
        </w:tc>
      </w:tr>
      <w:tr w:rsidR="00E14904" w:rsidRPr="00962DBF" w:rsidTr="00E14904">
        <w:trPr>
          <w:trHeight w:val="383"/>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0.03976</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0.50</w:t>
            </w:r>
          </w:p>
        </w:tc>
      </w:tr>
      <w:tr w:rsidR="00E14904" w:rsidRPr="00962DBF" w:rsidTr="00E14904">
        <w:trPr>
          <w:trHeight w:val="383"/>
        </w:trPr>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0.04983</w:t>
            </w:r>
          </w:p>
        </w:tc>
        <w:tc>
          <w:tcPr>
            <w:tcW w:w="4586" w:type="dxa"/>
          </w:tcPr>
          <w:p w:rsidR="00E14904" w:rsidRPr="00962DBF" w:rsidRDefault="00962DBF" w:rsidP="00962DBF">
            <w:pPr>
              <w:pStyle w:val="ListParagraph"/>
              <w:spacing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0.70</w:t>
            </w:r>
          </w:p>
        </w:tc>
      </w:tr>
    </w:tbl>
    <w:p w:rsidR="00E14904" w:rsidRDefault="00E14904" w:rsidP="00962DBF">
      <w:pPr>
        <w:pStyle w:val="ListParagraph"/>
        <w:spacing w:after="0" w:line="480" w:lineRule="auto"/>
        <w:ind w:left="0" w:firstLine="720"/>
        <w:jc w:val="both"/>
        <w:rPr>
          <w:rFonts w:ascii="Times New Roman" w:hAnsi="Times New Roman" w:cs="Times New Roman"/>
          <w:b/>
          <w:sz w:val="24"/>
          <w:szCs w:val="24"/>
        </w:rPr>
      </w:pPr>
    </w:p>
    <w:p w:rsidR="009207C3" w:rsidRDefault="009207C3" w:rsidP="00962DB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Weight of sample = 7g</w:t>
      </w:r>
    </w:p>
    <w:p w:rsidR="009207C3" w:rsidRDefault="009207C3" w:rsidP="00962DB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Volume of sample = 70ml</w:t>
      </w:r>
    </w:p>
    <w:p w:rsidR="009207C3" w:rsidRDefault="009207C3" w:rsidP="00962DB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Dilution of 7g in 70 ml = 70/7 = 10</w:t>
      </w:r>
    </w:p>
    <w:p w:rsidR="009207C3" w:rsidRDefault="009207C3" w:rsidP="00962DB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AAS result from the graphical method of standard addition = (0.03976 – 0.02385)</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0.50 – 0.20) = 0.05303 * 200.59 = 10.6373</w:t>
      </w:r>
    </w:p>
    <w:p w:rsidR="009207C3" w:rsidRPr="009207C3" w:rsidRDefault="009207C3" w:rsidP="00962DB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Concentration therefore = 10.6373/7 = 1.5196ppm</w:t>
      </w:r>
    </w:p>
    <w:p w:rsidR="00962DBF" w:rsidRDefault="00962DBF" w:rsidP="00962DBF">
      <w:pPr>
        <w:pStyle w:val="ListParagraph"/>
        <w:numPr>
          <w:ilvl w:val="0"/>
          <w:numId w:val="1"/>
        </w:numPr>
        <w:spacing w:after="0" w:line="480" w:lineRule="auto"/>
        <w:ind w:left="0" w:firstLine="720"/>
        <w:jc w:val="both"/>
        <w:rPr>
          <w:rFonts w:ascii="Times New Roman" w:hAnsi="Times New Roman" w:cs="Times New Roman"/>
          <w:b/>
          <w:sz w:val="24"/>
          <w:szCs w:val="24"/>
        </w:rPr>
      </w:pPr>
      <w:r w:rsidRPr="00962DBF">
        <w:rPr>
          <w:rFonts w:ascii="Times New Roman" w:hAnsi="Times New Roman" w:cs="Times New Roman"/>
          <w:b/>
          <w:sz w:val="24"/>
          <w:szCs w:val="24"/>
        </w:rPr>
        <w:t>Construct three detailed plans / procedures for completing this milestone:</w:t>
      </w:r>
    </w:p>
    <w:p w:rsidR="00962DBF" w:rsidRDefault="00962DBF" w:rsidP="00F570CC">
      <w:pPr>
        <w:pStyle w:val="ListParagraph"/>
        <w:numPr>
          <w:ilvl w:val="0"/>
          <w:numId w:val="2"/>
        </w:numPr>
        <w:spacing w:after="0" w:line="480" w:lineRule="auto"/>
        <w:jc w:val="both"/>
        <w:rPr>
          <w:rFonts w:ascii="Times New Roman" w:hAnsi="Times New Roman" w:cs="Times New Roman"/>
          <w:b/>
          <w:sz w:val="24"/>
          <w:szCs w:val="24"/>
        </w:rPr>
      </w:pPr>
      <w:r w:rsidRPr="00962DBF">
        <w:rPr>
          <w:rFonts w:ascii="Times New Roman" w:hAnsi="Times New Roman" w:cs="Times New Roman"/>
          <w:b/>
          <w:sz w:val="24"/>
          <w:szCs w:val="24"/>
        </w:rPr>
        <w:t xml:space="preserve">Fish sample digestion plan </w:t>
      </w:r>
    </w:p>
    <w:p w:rsidR="00F570CC" w:rsidRDefault="00E514E1" w:rsidP="00F570CC">
      <w:pPr>
        <w:pStyle w:val="ListParagraph"/>
        <w:spacing w:after="0" w:line="480" w:lineRule="auto"/>
        <w:ind w:left="1140"/>
        <w:jc w:val="both"/>
        <w:rPr>
          <w:rFonts w:ascii="Times New Roman" w:hAnsi="Times New Roman" w:cs="Times New Roman"/>
          <w:sz w:val="24"/>
          <w:szCs w:val="24"/>
        </w:rPr>
      </w:pPr>
      <w:r>
        <w:rPr>
          <w:rFonts w:ascii="Times New Roman" w:hAnsi="Times New Roman" w:cs="Times New Roman"/>
          <w:sz w:val="24"/>
          <w:szCs w:val="24"/>
        </w:rPr>
        <w:t xml:space="preserve">A fish sample digestion plan procedure, especially for wet digestion of fish tissues involves the utilization of sulfuric, </w:t>
      </w:r>
      <w:proofErr w:type="spellStart"/>
      <w:r>
        <w:rPr>
          <w:rFonts w:ascii="Times New Roman" w:hAnsi="Times New Roman" w:cs="Times New Roman"/>
          <w:sz w:val="24"/>
          <w:szCs w:val="24"/>
        </w:rPr>
        <w:t>perchloric</w:t>
      </w:r>
      <w:proofErr w:type="spellEnd"/>
      <w:r>
        <w:rPr>
          <w:rFonts w:ascii="Times New Roman" w:hAnsi="Times New Roman" w:cs="Times New Roman"/>
          <w:sz w:val="24"/>
          <w:szCs w:val="24"/>
        </w:rPr>
        <w:t xml:space="preserve">, and nitric acids which can digest about a gram of fish tissues within a timeframe of 45 minutes. Out of this procedure, one can prepare large amount of samples and is suitable for analyzing Cu, </w:t>
      </w:r>
      <w:proofErr w:type="spellStart"/>
      <w:r>
        <w:rPr>
          <w:rFonts w:ascii="Times New Roman" w:hAnsi="Times New Roman" w:cs="Times New Roman"/>
          <w:sz w:val="24"/>
          <w:szCs w:val="24"/>
        </w:rPr>
        <w:t>Mn</w:t>
      </w:r>
      <w:proofErr w:type="spellEnd"/>
      <w:r>
        <w:rPr>
          <w:rFonts w:ascii="Times New Roman" w:hAnsi="Times New Roman" w:cs="Times New Roman"/>
          <w:sz w:val="24"/>
          <w:szCs w:val="24"/>
        </w:rPr>
        <w:t xml:space="preserve">, Zn, and Cd, and other </w:t>
      </w:r>
      <w:r w:rsidR="00F033D7">
        <w:rPr>
          <w:rFonts w:ascii="Times New Roman" w:hAnsi="Times New Roman" w:cs="Times New Roman"/>
          <w:sz w:val="24"/>
          <w:szCs w:val="24"/>
        </w:rPr>
        <w:t>heavy metals through AAS. Consequently, through this method, clogging of the aspirator tube within the AAS unit is eliminated.</w:t>
      </w:r>
    </w:p>
    <w:p w:rsidR="008A124B" w:rsidRPr="008A124B" w:rsidRDefault="008A124B" w:rsidP="008A124B">
      <w:pPr>
        <w:pStyle w:val="ListParagraph"/>
        <w:spacing w:after="0" w:line="480" w:lineRule="auto"/>
        <w:ind w:left="1140"/>
        <w:jc w:val="both"/>
        <w:rPr>
          <w:rFonts w:ascii="Times New Roman" w:hAnsi="Times New Roman" w:cs="Times New Roman"/>
          <w:sz w:val="24"/>
          <w:szCs w:val="24"/>
        </w:rPr>
      </w:pPr>
      <w:r>
        <w:rPr>
          <w:rFonts w:ascii="Times New Roman" w:hAnsi="Times New Roman" w:cs="Times New Roman"/>
          <w:sz w:val="24"/>
          <w:szCs w:val="24"/>
        </w:rPr>
        <w:t xml:space="preserve">It follows that a microwave energy is introduced which allows the reduction of digestion time, and allows for subsequent development of convenient acid digestion procedures. Also, it offers for the complete destruction of the solid sample matrix, so </w:t>
      </w:r>
      <w:r>
        <w:rPr>
          <w:rFonts w:ascii="Times New Roman" w:hAnsi="Times New Roman" w:cs="Times New Roman"/>
          <w:sz w:val="24"/>
          <w:szCs w:val="24"/>
        </w:rPr>
        <w:lastRenderedPageBreak/>
        <w:t xml:space="preserve">that the liquid part can be digested and hence easily analyzed through conventional sample introduction systems in AAS techniques. </w:t>
      </w:r>
    </w:p>
    <w:p w:rsidR="00962DBF" w:rsidRDefault="00962DBF" w:rsidP="008A124B">
      <w:pPr>
        <w:pStyle w:val="ListParagraph"/>
        <w:numPr>
          <w:ilvl w:val="0"/>
          <w:numId w:val="2"/>
        </w:numPr>
        <w:spacing w:after="0" w:line="480" w:lineRule="auto"/>
        <w:jc w:val="both"/>
        <w:rPr>
          <w:rFonts w:ascii="Times New Roman" w:hAnsi="Times New Roman" w:cs="Times New Roman"/>
          <w:b/>
          <w:sz w:val="24"/>
          <w:szCs w:val="24"/>
        </w:rPr>
      </w:pPr>
      <w:r w:rsidRPr="00962DBF">
        <w:rPr>
          <w:rFonts w:ascii="Times New Roman" w:hAnsi="Times New Roman" w:cs="Times New Roman"/>
          <w:b/>
          <w:sz w:val="24"/>
          <w:szCs w:val="24"/>
        </w:rPr>
        <w:t xml:space="preserve">Pre-concentration plan </w:t>
      </w:r>
    </w:p>
    <w:p w:rsidR="008A124B" w:rsidRPr="008A124B" w:rsidRDefault="008A124B" w:rsidP="008A124B">
      <w:pPr>
        <w:pStyle w:val="ListParagraph"/>
        <w:spacing w:after="0" w:line="480" w:lineRule="auto"/>
        <w:ind w:left="1140"/>
        <w:jc w:val="both"/>
        <w:rPr>
          <w:rFonts w:ascii="Times New Roman" w:hAnsi="Times New Roman" w:cs="Times New Roman"/>
          <w:sz w:val="24"/>
          <w:szCs w:val="24"/>
        </w:rPr>
      </w:pPr>
      <w:r>
        <w:rPr>
          <w:rFonts w:ascii="Times New Roman" w:hAnsi="Times New Roman" w:cs="Times New Roman"/>
          <w:sz w:val="24"/>
          <w:szCs w:val="24"/>
        </w:rPr>
        <w:t>A suitable pre</w:t>
      </w:r>
      <w:r w:rsidR="00AA4DAA">
        <w:rPr>
          <w:rFonts w:ascii="Times New Roman" w:hAnsi="Times New Roman" w:cs="Times New Roman"/>
          <w:sz w:val="24"/>
          <w:szCs w:val="24"/>
        </w:rPr>
        <w:t>-</w:t>
      </w:r>
      <w:r>
        <w:rPr>
          <w:rFonts w:ascii="Times New Roman" w:hAnsi="Times New Roman" w:cs="Times New Roman"/>
          <w:sz w:val="24"/>
          <w:szCs w:val="24"/>
        </w:rPr>
        <w:t>concentration plan</w:t>
      </w:r>
      <w:r w:rsidR="00AA4DAA">
        <w:rPr>
          <w:rFonts w:ascii="Times New Roman" w:hAnsi="Times New Roman" w:cs="Times New Roman"/>
          <w:sz w:val="24"/>
          <w:szCs w:val="24"/>
        </w:rPr>
        <w:t xml:space="preserve"> would involve the use of a simple micro extraction method which may involve solidifying a floating organic drop prior to determining its concentration through atomic absorption spectroscopy. In this case, ammonium </w:t>
      </w:r>
      <w:proofErr w:type="spellStart"/>
      <w:r w:rsidR="00AA4DAA">
        <w:rPr>
          <w:rFonts w:ascii="Times New Roman" w:hAnsi="Times New Roman" w:cs="Times New Roman"/>
          <w:sz w:val="24"/>
          <w:szCs w:val="24"/>
        </w:rPr>
        <w:t>pyrolidinedithiocarbamate</w:t>
      </w:r>
      <w:proofErr w:type="spellEnd"/>
      <w:r w:rsidR="00AA4DAA">
        <w:rPr>
          <w:rFonts w:ascii="Times New Roman" w:hAnsi="Times New Roman" w:cs="Times New Roman"/>
          <w:sz w:val="24"/>
          <w:szCs w:val="24"/>
        </w:rPr>
        <w:t xml:space="preserve"> (APDC) may be used as the </w:t>
      </w:r>
      <w:proofErr w:type="spellStart"/>
      <w:r w:rsidR="00AA4DAA">
        <w:rPr>
          <w:rFonts w:ascii="Times New Roman" w:hAnsi="Times New Roman" w:cs="Times New Roman"/>
          <w:sz w:val="24"/>
          <w:szCs w:val="24"/>
        </w:rPr>
        <w:t>complexing</w:t>
      </w:r>
      <w:proofErr w:type="spellEnd"/>
      <w:r w:rsidR="00AA4DAA">
        <w:rPr>
          <w:rFonts w:ascii="Times New Roman" w:hAnsi="Times New Roman" w:cs="Times New Roman"/>
          <w:sz w:val="24"/>
          <w:szCs w:val="24"/>
        </w:rPr>
        <w:t xml:space="preserve"> </w:t>
      </w:r>
      <w:proofErr w:type="spellStart"/>
      <w:r w:rsidR="00AA4DAA">
        <w:rPr>
          <w:rFonts w:ascii="Times New Roman" w:hAnsi="Times New Roman" w:cs="Times New Roman"/>
          <w:sz w:val="24"/>
          <w:szCs w:val="24"/>
        </w:rPr>
        <w:t>agend</w:t>
      </w:r>
      <w:proofErr w:type="spellEnd"/>
      <w:r w:rsidR="00AA4DAA">
        <w:rPr>
          <w:rFonts w:ascii="Times New Roman" w:hAnsi="Times New Roman" w:cs="Times New Roman"/>
          <w:sz w:val="24"/>
          <w:szCs w:val="24"/>
        </w:rPr>
        <w:t xml:space="preserve">, and through the formed complex extracted into a proportionate amount of 1-undecanol. The complex may also be injected into a graphite furnace and diluted with ethanol. </w:t>
      </w:r>
    </w:p>
    <w:p w:rsidR="00962DBF" w:rsidRDefault="00962DBF" w:rsidP="00AA4DAA">
      <w:pPr>
        <w:pStyle w:val="ListParagraph"/>
        <w:numPr>
          <w:ilvl w:val="0"/>
          <w:numId w:val="2"/>
        </w:numPr>
        <w:spacing w:after="0" w:line="480" w:lineRule="auto"/>
        <w:jc w:val="both"/>
        <w:rPr>
          <w:rFonts w:ascii="Times New Roman" w:hAnsi="Times New Roman" w:cs="Times New Roman"/>
          <w:b/>
          <w:sz w:val="24"/>
          <w:szCs w:val="24"/>
        </w:rPr>
      </w:pPr>
      <w:r w:rsidRPr="00962DBF">
        <w:rPr>
          <w:rFonts w:ascii="Times New Roman" w:hAnsi="Times New Roman" w:cs="Times New Roman"/>
          <w:b/>
          <w:sz w:val="24"/>
          <w:szCs w:val="24"/>
        </w:rPr>
        <w:t>Method of standard addition analysis using AAS plan – from Milestone 1, you know what sample volume is required for analysis. Your method of standard additions should employ at least 5 samples (4 spikes plus an un-spiked solution) – thus if you determined that 10 mL is the minimum volume needed for analysis, you would require at least 50 mL of total solution volume for performing the overall analysis via the method of standard additions. For selecting the concentration and volume of spike solution, it is suggested that your four spikes increase the Hg concentration by ~ 1, 2, 5, and 10 ppm respectively</w:t>
      </w:r>
    </w:p>
    <w:p w:rsidR="00490F3F" w:rsidRDefault="00EF1B0B" w:rsidP="00490F3F">
      <w:pPr>
        <w:pStyle w:val="ListParagraph"/>
        <w:spacing w:after="0" w:line="480" w:lineRule="auto"/>
        <w:ind w:left="1140"/>
        <w:jc w:val="both"/>
        <w:rPr>
          <w:rFonts w:ascii="Times New Roman" w:hAnsi="Times New Roman" w:cs="Times New Roman"/>
          <w:sz w:val="24"/>
          <w:szCs w:val="24"/>
        </w:rPr>
      </w:pPr>
      <w:r>
        <w:rPr>
          <w:rFonts w:ascii="Times New Roman" w:hAnsi="Times New Roman" w:cs="Times New Roman"/>
          <w:sz w:val="24"/>
          <w:szCs w:val="24"/>
        </w:rPr>
        <w:t xml:space="preserve">Stock solutions are prepared from which working standards are freshly prepared by serial dilution. The five serial standards are prepared for calibration. The final concentration is then maintained at about 1% serial dilution, and subsequent dilution of stock solutions is done to keep the Hg metal in free ion state. Appropriate weighing is done prior to their dilution to make 1000ppm of stock solutions. After </w:t>
      </w:r>
      <w:r>
        <w:rPr>
          <w:rFonts w:ascii="Times New Roman" w:hAnsi="Times New Roman" w:cs="Times New Roman"/>
          <w:sz w:val="24"/>
          <w:szCs w:val="24"/>
        </w:rPr>
        <w:lastRenderedPageBreak/>
        <w:t xml:space="preserve">which the serial standards are aspirated into the instruments and their absorbance plotted against concentration to obtain their calibration curves. The correlation coefficients are calculated to and used to express the performance of the AAS instrument. The digestion procedure should be done in accordance to </w:t>
      </w:r>
      <w:proofErr w:type="spellStart"/>
      <w:r>
        <w:rPr>
          <w:rFonts w:ascii="Times New Roman" w:hAnsi="Times New Roman" w:cs="Times New Roman"/>
          <w:sz w:val="24"/>
          <w:szCs w:val="24"/>
        </w:rPr>
        <w:t>Mester’s</w:t>
      </w:r>
      <w:proofErr w:type="spellEnd"/>
      <w:r>
        <w:rPr>
          <w:rFonts w:ascii="Times New Roman" w:hAnsi="Times New Roman" w:cs="Times New Roman"/>
          <w:sz w:val="24"/>
          <w:szCs w:val="24"/>
        </w:rPr>
        <w:t xml:space="preserve"> proposition.</w:t>
      </w: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Default="00EF1B0B" w:rsidP="00490F3F">
      <w:pPr>
        <w:pStyle w:val="ListParagraph"/>
        <w:spacing w:after="0" w:line="480" w:lineRule="auto"/>
        <w:ind w:left="1140"/>
        <w:jc w:val="both"/>
        <w:rPr>
          <w:rFonts w:ascii="Times New Roman" w:hAnsi="Times New Roman" w:cs="Times New Roman"/>
          <w:sz w:val="24"/>
          <w:szCs w:val="24"/>
        </w:rPr>
      </w:pPr>
    </w:p>
    <w:p w:rsidR="00EF1B0B" w:rsidRPr="00EF1B0B" w:rsidRDefault="00EF1B0B" w:rsidP="00490F3F">
      <w:pPr>
        <w:pStyle w:val="ListParagraph"/>
        <w:spacing w:after="0" w:line="480" w:lineRule="auto"/>
        <w:ind w:left="1140"/>
        <w:jc w:val="both"/>
        <w:rPr>
          <w:rFonts w:ascii="Times New Roman" w:hAnsi="Times New Roman" w:cs="Times New Roman"/>
          <w:sz w:val="24"/>
          <w:szCs w:val="24"/>
        </w:rPr>
      </w:pPr>
      <w:bookmarkStart w:id="0" w:name="_GoBack"/>
      <w:bookmarkEnd w:id="0"/>
    </w:p>
    <w:p w:rsidR="00490F3F" w:rsidRDefault="00490F3F" w:rsidP="00490F3F">
      <w:pPr>
        <w:pStyle w:val="ListParagraph"/>
        <w:spacing w:after="0" w:line="480" w:lineRule="auto"/>
        <w:ind w:left="1140"/>
        <w:jc w:val="center"/>
        <w:rPr>
          <w:rFonts w:ascii="Times New Roman" w:hAnsi="Times New Roman" w:cs="Times New Roman"/>
          <w:sz w:val="24"/>
          <w:szCs w:val="24"/>
        </w:rPr>
      </w:pPr>
    </w:p>
    <w:p w:rsidR="00490F3F" w:rsidRDefault="00490F3F" w:rsidP="00490F3F">
      <w:pPr>
        <w:pStyle w:val="ListParagraph"/>
        <w:spacing w:after="0" w:line="480" w:lineRule="auto"/>
        <w:ind w:left="1140"/>
        <w:jc w:val="center"/>
        <w:rPr>
          <w:rFonts w:ascii="Times New Roman" w:hAnsi="Times New Roman" w:cs="Times New Roman"/>
          <w:sz w:val="24"/>
          <w:szCs w:val="24"/>
        </w:rPr>
      </w:pPr>
    </w:p>
    <w:p w:rsidR="00490F3F" w:rsidRDefault="00490F3F" w:rsidP="00490F3F">
      <w:pPr>
        <w:pStyle w:val="ListParagraph"/>
        <w:spacing w:after="0" w:line="480" w:lineRule="auto"/>
        <w:ind w:left="1140"/>
        <w:jc w:val="center"/>
        <w:rPr>
          <w:rFonts w:ascii="Times New Roman" w:hAnsi="Times New Roman" w:cs="Times New Roman"/>
          <w:sz w:val="24"/>
          <w:szCs w:val="24"/>
        </w:rPr>
      </w:pPr>
    </w:p>
    <w:p w:rsidR="00490F3F" w:rsidRDefault="00490F3F" w:rsidP="00490F3F">
      <w:pPr>
        <w:pStyle w:val="ListParagraph"/>
        <w:spacing w:after="0" w:line="480" w:lineRule="auto"/>
        <w:ind w:left="1140"/>
        <w:jc w:val="center"/>
        <w:rPr>
          <w:rFonts w:ascii="Times New Roman" w:hAnsi="Times New Roman" w:cs="Times New Roman"/>
          <w:sz w:val="24"/>
          <w:szCs w:val="24"/>
        </w:rPr>
      </w:pPr>
    </w:p>
    <w:p w:rsidR="00490F3F" w:rsidRDefault="00490F3F" w:rsidP="00490F3F">
      <w:pPr>
        <w:pStyle w:val="ListParagraph"/>
        <w:spacing w:after="0" w:line="480" w:lineRule="auto"/>
        <w:ind w:left="1140"/>
        <w:jc w:val="center"/>
        <w:rPr>
          <w:rFonts w:ascii="Times New Roman" w:hAnsi="Times New Roman" w:cs="Times New Roman"/>
          <w:sz w:val="24"/>
          <w:szCs w:val="24"/>
        </w:rPr>
      </w:pPr>
    </w:p>
    <w:p w:rsidR="00AA4DAA" w:rsidRDefault="00490F3F" w:rsidP="00490F3F">
      <w:pPr>
        <w:pStyle w:val="ListParagraph"/>
        <w:spacing w:after="0" w:line="480" w:lineRule="auto"/>
        <w:ind w:left="114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0F3F" w:rsidRPr="00490F3F" w:rsidRDefault="00490F3F" w:rsidP="00490F3F">
      <w:pPr>
        <w:pStyle w:val="cpformat"/>
        <w:shd w:val="clear" w:color="auto" w:fill="FFFFFF"/>
        <w:spacing w:before="0" w:beforeAutospacing="0" w:after="0" w:afterAutospacing="0" w:line="480" w:lineRule="auto"/>
        <w:ind w:left="720" w:hanging="720"/>
        <w:jc w:val="both"/>
        <w:rPr>
          <w:color w:val="000000"/>
        </w:rPr>
      </w:pPr>
      <w:proofErr w:type="spellStart"/>
      <w:proofErr w:type="gramStart"/>
      <w:r w:rsidRPr="00490F3F">
        <w:rPr>
          <w:color w:val="000000"/>
        </w:rPr>
        <w:t>Chamsaz</w:t>
      </w:r>
      <w:proofErr w:type="spellEnd"/>
      <w:r w:rsidRPr="00490F3F">
        <w:rPr>
          <w:color w:val="000000"/>
        </w:rPr>
        <w:t xml:space="preserve">, M., </w:t>
      </w:r>
      <w:proofErr w:type="spellStart"/>
      <w:r w:rsidRPr="00490F3F">
        <w:rPr>
          <w:color w:val="000000"/>
        </w:rPr>
        <w:t>Akhoundzadeh</w:t>
      </w:r>
      <w:proofErr w:type="spellEnd"/>
      <w:r w:rsidRPr="00490F3F">
        <w:rPr>
          <w:color w:val="000000"/>
        </w:rPr>
        <w:t xml:space="preserve">, J., &amp; </w:t>
      </w:r>
      <w:proofErr w:type="spellStart"/>
      <w:r w:rsidRPr="00490F3F">
        <w:rPr>
          <w:color w:val="000000"/>
        </w:rPr>
        <w:t>Arbab-zavar</w:t>
      </w:r>
      <w:proofErr w:type="spellEnd"/>
      <w:r w:rsidRPr="00490F3F">
        <w:rPr>
          <w:color w:val="000000"/>
        </w:rPr>
        <w:t>, M. H. (2013).</w:t>
      </w:r>
      <w:proofErr w:type="gramEnd"/>
      <w:r w:rsidRPr="00490F3F">
        <w:rPr>
          <w:color w:val="000000"/>
        </w:rPr>
        <w:t xml:space="preserve"> </w:t>
      </w:r>
      <w:proofErr w:type="spellStart"/>
      <w:proofErr w:type="gramStart"/>
      <w:r w:rsidRPr="00490F3F">
        <w:rPr>
          <w:color w:val="000000"/>
        </w:rPr>
        <w:t>Preconcentration</w:t>
      </w:r>
      <w:proofErr w:type="spellEnd"/>
      <w:r w:rsidRPr="00490F3F">
        <w:rPr>
          <w:color w:val="000000"/>
        </w:rPr>
        <w:t xml:space="preserve"> of lead using solidification of floating organic drop and its determination by </w:t>
      </w:r>
      <w:proofErr w:type="spellStart"/>
      <w:r w:rsidRPr="00490F3F">
        <w:rPr>
          <w:color w:val="000000"/>
        </w:rPr>
        <w:t>electrothermal</w:t>
      </w:r>
      <w:proofErr w:type="spellEnd"/>
      <w:r w:rsidRPr="00490F3F">
        <w:rPr>
          <w:color w:val="000000"/>
        </w:rPr>
        <w:t xml:space="preserve"> atomic absorption spectrometry.</w:t>
      </w:r>
      <w:proofErr w:type="gramEnd"/>
      <w:r w:rsidRPr="00490F3F">
        <w:rPr>
          <w:color w:val="000000"/>
        </w:rPr>
        <w:t> </w:t>
      </w:r>
      <w:r w:rsidRPr="00490F3F">
        <w:rPr>
          <w:rStyle w:val="Emphasis"/>
          <w:color w:val="000000"/>
        </w:rPr>
        <w:t>Journal of Advanced Research</w:t>
      </w:r>
      <w:r w:rsidRPr="00490F3F">
        <w:rPr>
          <w:color w:val="000000"/>
        </w:rPr>
        <w:t>, </w:t>
      </w:r>
      <w:r w:rsidRPr="00490F3F">
        <w:rPr>
          <w:rStyle w:val="Emphasis"/>
          <w:color w:val="000000"/>
        </w:rPr>
        <w:t>4</w:t>
      </w:r>
      <w:r w:rsidRPr="00490F3F">
        <w:rPr>
          <w:color w:val="000000"/>
        </w:rPr>
        <w:t>(4), 361-366. doi:10.1016/j.jare.2012.07.002</w:t>
      </w:r>
    </w:p>
    <w:p w:rsidR="00490F3F" w:rsidRPr="00490F3F" w:rsidRDefault="00490F3F" w:rsidP="00490F3F">
      <w:pPr>
        <w:pStyle w:val="cpformat"/>
        <w:shd w:val="clear" w:color="auto" w:fill="FFFFFF"/>
        <w:spacing w:before="0" w:beforeAutospacing="0" w:after="0" w:afterAutospacing="0" w:line="480" w:lineRule="auto"/>
        <w:ind w:left="720" w:hanging="720"/>
        <w:jc w:val="both"/>
        <w:rPr>
          <w:color w:val="000000"/>
        </w:rPr>
      </w:pPr>
      <w:proofErr w:type="spellStart"/>
      <w:r w:rsidRPr="00490F3F">
        <w:rPr>
          <w:color w:val="000000"/>
        </w:rPr>
        <w:t>Gilmutdinov</w:t>
      </w:r>
      <w:proofErr w:type="spellEnd"/>
      <w:r w:rsidRPr="00490F3F">
        <w:rPr>
          <w:color w:val="000000"/>
        </w:rPr>
        <w:t>, A. K. (2017). Atomic Absorption, Theory. </w:t>
      </w:r>
      <w:r w:rsidRPr="00490F3F">
        <w:rPr>
          <w:rStyle w:val="Emphasis"/>
          <w:color w:val="000000"/>
        </w:rPr>
        <w:t>Encyclopedia of Spectroscopy and Spectrometry</w:t>
      </w:r>
      <w:r w:rsidRPr="00490F3F">
        <w:rPr>
          <w:color w:val="000000"/>
        </w:rPr>
        <w:t>, 44-51. doi:10.1016/b978-0-12-803224-4.00100-x</w:t>
      </w:r>
    </w:p>
    <w:p w:rsidR="00490F3F" w:rsidRPr="00490F3F" w:rsidRDefault="00490F3F" w:rsidP="00490F3F">
      <w:pPr>
        <w:pStyle w:val="ListParagraph"/>
        <w:spacing w:after="0" w:line="480" w:lineRule="auto"/>
        <w:ind w:hanging="720"/>
        <w:jc w:val="both"/>
        <w:rPr>
          <w:rFonts w:ascii="Times New Roman" w:hAnsi="Times New Roman" w:cs="Times New Roman"/>
          <w:color w:val="000000"/>
          <w:sz w:val="24"/>
          <w:szCs w:val="24"/>
          <w:shd w:val="clear" w:color="auto" w:fill="FFFFFF"/>
        </w:rPr>
      </w:pPr>
    </w:p>
    <w:p w:rsidR="00490F3F" w:rsidRPr="00AA4DAA" w:rsidRDefault="00490F3F" w:rsidP="00490F3F">
      <w:pPr>
        <w:pStyle w:val="ListParagraph"/>
        <w:spacing w:after="0" w:line="480" w:lineRule="auto"/>
        <w:ind w:hanging="720"/>
        <w:jc w:val="both"/>
        <w:rPr>
          <w:rFonts w:ascii="Times New Roman" w:hAnsi="Times New Roman" w:cs="Times New Roman"/>
          <w:sz w:val="24"/>
          <w:szCs w:val="24"/>
        </w:rPr>
      </w:pPr>
      <w:proofErr w:type="gramStart"/>
      <w:r w:rsidRPr="00490F3F">
        <w:rPr>
          <w:rFonts w:ascii="Times New Roman" w:hAnsi="Times New Roman" w:cs="Times New Roman"/>
          <w:color w:val="000000"/>
          <w:sz w:val="24"/>
          <w:szCs w:val="24"/>
          <w:shd w:val="clear" w:color="auto" w:fill="FFFFFF"/>
        </w:rPr>
        <w:t xml:space="preserve">Wang, Y., </w:t>
      </w:r>
      <w:proofErr w:type="spellStart"/>
      <w:r w:rsidRPr="00490F3F">
        <w:rPr>
          <w:rFonts w:ascii="Times New Roman" w:hAnsi="Times New Roman" w:cs="Times New Roman"/>
          <w:color w:val="000000"/>
          <w:sz w:val="24"/>
          <w:szCs w:val="24"/>
          <w:shd w:val="clear" w:color="auto" w:fill="FFFFFF"/>
        </w:rPr>
        <w:t>Kanipayor</w:t>
      </w:r>
      <w:proofErr w:type="spellEnd"/>
      <w:r w:rsidRPr="00490F3F">
        <w:rPr>
          <w:rFonts w:ascii="Times New Roman" w:hAnsi="Times New Roman" w:cs="Times New Roman"/>
          <w:color w:val="000000"/>
          <w:sz w:val="24"/>
          <w:szCs w:val="24"/>
          <w:shd w:val="clear" w:color="auto" w:fill="FFFFFF"/>
        </w:rPr>
        <w:t>, R., &amp; Brindle, I. (2014).</w:t>
      </w:r>
      <w:proofErr w:type="gramEnd"/>
      <w:r w:rsidRPr="00490F3F">
        <w:rPr>
          <w:rFonts w:ascii="Times New Roman" w:hAnsi="Times New Roman" w:cs="Times New Roman"/>
          <w:color w:val="000000"/>
          <w:sz w:val="24"/>
          <w:szCs w:val="24"/>
          <w:shd w:val="clear" w:color="auto" w:fill="FFFFFF"/>
        </w:rPr>
        <w:t xml:space="preserve"> Rapid high-performance sample digestion for ICP determination by </w:t>
      </w:r>
      <w:proofErr w:type="spellStart"/>
      <w:r w:rsidRPr="00490F3F">
        <w:rPr>
          <w:rFonts w:ascii="Times New Roman" w:hAnsi="Times New Roman" w:cs="Times New Roman"/>
          <w:color w:val="000000"/>
          <w:sz w:val="24"/>
          <w:szCs w:val="24"/>
          <w:shd w:val="clear" w:color="auto" w:fill="FFFFFF"/>
        </w:rPr>
        <w:t>ColdBlock</w:t>
      </w:r>
      <w:proofErr w:type="spellEnd"/>
      <w:r w:rsidRPr="00490F3F">
        <w:rPr>
          <w:rFonts w:ascii="Times New Roman" w:hAnsi="Times New Roman" w:cs="Times New Roman"/>
          <w:color w:val="000000"/>
          <w:sz w:val="24"/>
          <w:szCs w:val="24"/>
          <w:shd w:val="clear" w:color="auto" w:fill="FFFFFF"/>
        </w:rPr>
        <w:t>™ digestion: part 1 environmental samples. </w:t>
      </w:r>
      <w:r w:rsidRPr="00490F3F">
        <w:rPr>
          <w:rFonts w:ascii="Times New Roman" w:hAnsi="Times New Roman" w:cs="Times New Roman"/>
          <w:i/>
          <w:iCs/>
          <w:color w:val="000000"/>
          <w:sz w:val="24"/>
          <w:szCs w:val="24"/>
          <w:shd w:val="clear" w:color="auto" w:fill="FFFFFF"/>
        </w:rPr>
        <w:t xml:space="preserve">J. Anal. </w:t>
      </w:r>
      <w:proofErr w:type="gramStart"/>
      <w:r w:rsidRPr="00490F3F">
        <w:rPr>
          <w:rFonts w:ascii="Times New Roman" w:hAnsi="Times New Roman" w:cs="Times New Roman"/>
          <w:i/>
          <w:iCs/>
          <w:color w:val="000000"/>
          <w:sz w:val="24"/>
          <w:szCs w:val="24"/>
          <w:shd w:val="clear" w:color="auto" w:fill="FFFFFF"/>
        </w:rPr>
        <w:t>At.</w:t>
      </w:r>
      <w:proofErr w:type="gramEnd"/>
      <w:r w:rsidRPr="00490F3F">
        <w:rPr>
          <w:rFonts w:ascii="Times New Roman" w:hAnsi="Times New Roman" w:cs="Times New Roman"/>
          <w:i/>
          <w:iCs/>
          <w:color w:val="000000"/>
          <w:sz w:val="24"/>
          <w:szCs w:val="24"/>
          <w:shd w:val="clear" w:color="auto" w:fill="FFFFFF"/>
        </w:rPr>
        <w:t xml:space="preserve"> </w:t>
      </w:r>
      <w:proofErr w:type="spellStart"/>
      <w:proofErr w:type="gramStart"/>
      <w:r w:rsidRPr="00490F3F">
        <w:rPr>
          <w:rFonts w:ascii="Times New Roman" w:hAnsi="Times New Roman" w:cs="Times New Roman"/>
          <w:i/>
          <w:iCs/>
          <w:color w:val="000000"/>
          <w:sz w:val="24"/>
          <w:szCs w:val="24"/>
          <w:shd w:val="clear" w:color="auto" w:fill="FFFFFF"/>
        </w:rPr>
        <w:t>Spectrom</w:t>
      </w:r>
      <w:proofErr w:type="spellEnd"/>
      <w:r w:rsidRPr="00490F3F">
        <w:rPr>
          <w:rFonts w:ascii="Times New Roman" w:hAnsi="Times New Roman" w:cs="Times New Roman"/>
          <w:i/>
          <w:iCs/>
          <w:color w:val="000000"/>
          <w:sz w:val="24"/>
          <w:szCs w:val="24"/>
          <w:shd w:val="clear" w:color="auto" w:fill="FFFFFF"/>
        </w:rPr>
        <w:t>.</w:t>
      </w:r>
      <w:r w:rsidRPr="00490F3F">
        <w:rPr>
          <w:rFonts w:ascii="Times New Roman" w:hAnsi="Times New Roman" w:cs="Times New Roman"/>
          <w:color w:val="000000"/>
          <w:sz w:val="24"/>
          <w:szCs w:val="24"/>
          <w:shd w:val="clear" w:color="auto" w:fill="FFFFFF"/>
        </w:rPr>
        <w:t>,</w:t>
      </w:r>
      <w:proofErr w:type="gramEnd"/>
      <w:r w:rsidRPr="00490F3F">
        <w:rPr>
          <w:rFonts w:ascii="Times New Roman" w:hAnsi="Times New Roman" w:cs="Times New Roman"/>
          <w:color w:val="000000"/>
          <w:sz w:val="24"/>
          <w:szCs w:val="24"/>
          <w:shd w:val="clear" w:color="auto" w:fill="FFFFFF"/>
        </w:rPr>
        <w:t> </w:t>
      </w:r>
      <w:r w:rsidRPr="00490F3F">
        <w:rPr>
          <w:rFonts w:ascii="Times New Roman" w:hAnsi="Times New Roman" w:cs="Times New Roman"/>
          <w:i/>
          <w:iCs/>
          <w:color w:val="000000"/>
          <w:sz w:val="24"/>
          <w:szCs w:val="24"/>
          <w:shd w:val="clear" w:color="auto" w:fill="FFFFFF"/>
        </w:rPr>
        <w:t>29</w:t>
      </w:r>
      <w:r w:rsidRPr="00490F3F">
        <w:rPr>
          <w:rFonts w:ascii="Times New Roman" w:hAnsi="Times New Roman" w:cs="Times New Roman"/>
          <w:color w:val="000000"/>
          <w:sz w:val="24"/>
          <w:szCs w:val="24"/>
          <w:shd w:val="clear" w:color="auto" w:fill="FFFFFF"/>
        </w:rPr>
        <w:t xml:space="preserve">(1), 162-168. </w:t>
      </w:r>
      <w:proofErr w:type="spellStart"/>
      <w:proofErr w:type="gramStart"/>
      <w:r w:rsidRPr="00490F3F">
        <w:rPr>
          <w:rFonts w:ascii="Times New Roman" w:hAnsi="Times New Roman" w:cs="Times New Roman"/>
          <w:color w:val="000000"/>
          <w:sz w:val="24"/>
          <w:szCs w:val="24"/>
          <w:shd w:val="clear" w:color="auto" w:fill="FFFFFF"/>
        </w:rPr>
        <w:t>doi</w:t>
      </w:r>
      <w:proofErr w:type="spellEnd"/>
      <w:proofErr w:type="gramEnd"/>
      <w:r w:rsidRPr="00490F3F">
        <w:rPr>
          <w:rFonts w:ascii="Times New Roman" w:hAnsi="Times New Roman" w:cs="Times New Roman"/>
          <w:color w:val="000000"/>
          <w:sz w:val="24"/>
          <w:szCs w:val="24"/>
          <w:shd w:val="clear" w:color="auto" w:fill="FFFFFF"/>
        </w:rPr>
        <w:t>: 10.1039/c3ja50333j</w:t>
      </w:r>
    </w:p>
    <w:p w:rsidR="002837EE" w:rsidRDefault="002837EE" w:rsidP="00AA4DAA">
      <w:pPr>
        <w:spacing w:line="480" w:lineRule="auto"/>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Default="002837EE" w:rsidP="002837EE">
      <w:pPr>
        <w:spacing w:line="480" w:lineRule="auto"/>
        <w:jc w:val="center"/>
        <w:rPr>
          <w:rFonts w:ascii="Times New Roman" w:hAnsi="Times New Roman" w:cs="Times New Roman"/>
          <w:sz w:val="24"/>
          <w:szCs w:val="24"/>
        </w:rPr>
      </w:pPr>
    </w:p>
    <w:p w:rsidR="002837EE" w:rsidRPr="002837EE" w:rsidRDefault="002837EE" w:rsidP="002837EE">
      <w:pPr>
        <w:spacing w:line="480" w:lineRule="auto"/>
        <w:jc w:val="center"/>
        <w:rPr>
          <w:rFonts w:ascii="Times New Roman" w:hAnsi="Times New Roman" w:cs="Times New Roman"/>
          <w:sz w:val="24"/>
          <w:szCs w:val="24"/>
        </w:rPr>
      </w:pPr>
    </w:p>
    <w:sectPr w:rsidR="002837EE" w:rsidRPr="002837EE" w:rsidSect="002837EE">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912" w:rsidRDefault="00132912" w:rsidP="002837EE">
      <w:pPr>
        <w:spacing w:after="0" w:line="240" w:lineRule="auto"/>
      </w:pPr>
      <w:r>
        <w:separator/>
      </w:r>
    </w:p>
  </w:endnote>
  <w:endnote w:type="continuationSeparator" w:id="0">
    <w:p w:rsidR="00132912" w:rsidRDefault="00132912" w:rsidP="0028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912" w:rsidRDefault="00132912" w:rsidP="002837EE">
      <w:pPr>
        <w:spacing w:after="0" w:line="240" w:lineRule="auto"/>
      </w:pPr>
      <w:r>
        <w:separator/>
      </w:r>
    </w:p>
  </w:footnote>
  <w:footnote w:type="continuationSeparator" w:id="0">
    <w:p w:rsidR="00132912" w:rsidRDefault="00132912" w:rsidP="00283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0435320"/>
      <w:docPartObj>
        <w:docPartGallery w:val="Page Numbers (Top of Page)"/>
        <w:docPartUnique/>
      </w:docPartObj>
    </w:sdtPr>
    <w:sdtEndPr>
      <w:rPr>
        <w:noProof/>
      </w:rPr>
    </w:sdtEndPr>
    <w:sdtContent>
      <w:p w:rsidR="008A124B" w:rsidRPr="002837EE" w:rsidRDefault="008A124B" w:rsidP="002837EE">
        <w:pPr>
          <w:pStyle w:val="Header"/>
          <w:rPr>
            <w:rFonts w:ascii="Times New Roman" w:hAnsi="Times New Roman" w:cs="Times New Roman"/>
            <w:sz w:val="24"/>
            <w:szCs w:val="24"/>
          </w:rPr>
        </w:pPr>
        <w:r w:rsidRPr="002837EE">
          <w:rPr>
            <w:rFonts w:ascii="Times New Roman" w:hAnsi="Times New Roman" w:cs="Times New Roman"/>
            <w:sz w:val="24"/>
            <w:szCs w:val="24"/>
          </w:rPr>
          <w:t>ATOMIC ABSORPTION SPECTRO</w:t>
        </w:r>
        <w:r>
          <w:rPr>
            <w:rFonts w:ascii="Times New Roman" w:hAnsi="Times New Roman" w:cs="Times New Roman"/>
            <w:sz w:val="24"/>
            <w:szCs w:val="24"/>
          </w:rPr>
          <w:t xml:space="preserve">SCOPY                                                                                </w:t>
        </w:r>
        <w:r w:rsidRPr="002837EE">
          <w:rPr>
            <w:rFonts w:ascii="Times New Roman" w:hAnsi="Times New Roman" w:cs="Times New Roman"/>
            <w:sz w:val="24"/>
            <w:szCs w:val="24"/>
          </w:rPr>
          <w:fldChar w:fldCharType="begin"/>
        </w:r>
        <w:r w:rsidRPr="002837EE">
          <w:rPr>
            <w:rFonts w:ascii="Times New Roman" w:hAnsi="Times New Roman" w:cs="Times New Roman"/>
            <w:sz w:val="24"/>
            <w:szCs w:val="24"/>
          </w:rPr>
          <w:instrText xml:space="preserve"> PAGE   \* MERGEFORMAT </w:instrText>
        </w:r>
        <w:r w:rsidRPr="002837EE">
          <w:rPr>
            <w:rFonts w:ascii="Times New Roman" w:hAnsi="Times New Roman" w:cs="Times New Roman"/>
            <w:sz w:val="24"/>
            <w:szCs w:val="24"/>
          </w:rPr>
          <w:fldChar w:fldCharType="separate"/>
        </w:r>
        <w:r w:rsidR="00EF1B0B">
          <w:rPr>
            <w:rFonts w:ascii="Times New Roman" w:hAnsi="Times New Roman" w:cs="Times New Roman"/>
            <w:noProof/>
            <w:sz w:val="24"/>
            <w:szCs w:val="24"/>
          </w:rPr>
          <w:t>6</w:t>
        </w:r>
        <w:r w:rsidRPr="002837EE">
          <w:rPr>
            <w:rFonts w:ascii="Times New Roman" w:hAnsi="Times New Roman" w:cs="Times New Roman"/>
            <w:noProof/>
            <w:sz w:val="24"/>
            <w:szCs w:val="24"/>
          </w:rPr>
          <w:fldChar w:fldCharType="end"/>
        </w:r>
      </w:p>
    </w:sdtContent>
  </w:sdt>
  <w:p w:rsidR="008A124B" w:rsidRPr="002837EE" w:rsidRDefault="008A12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4764422"/>
      <w:docPartObj>
        <w:docPartGallery w:val="Page Numbers (Top of Page)"/>
        <w:docPartUnique/>
      </w:docPartObj>
    </w:sdtPr>
    <w:sdtEndPr>
      <w:rPr>
        <w:noProof/>
      </w:rPr>
    </w:sdtEndPr>
    <w:sdtContent>
      <w:p w:rsidR="008A124B" w:rsidRPr="002837EE" w:rsidRDefault="008A124B" w:rsidP="002837EE">
        <w:pPr>
          <w:pStyle w:val="Header"/>
          <w:rPr>
            <w:rFonts w:ascii="Times New Roman" w:hAnsi="Times New Roman" w:cs="Times New Roman"/>
            <w:sz w:val="24"/>
            <w:szCs w:val="24"/>
          </w:rPr>
        </w:pPr>
        <w:r w:rsidRPr="002837EE">
          <w:rPr>
            <w:rFonts w:ascii="Times New Roman" w:hAnsi="Times New Roman" w:cs="Times New Roman"/>
            <w:sz w:val="24"/>
            <w:szCs w:val="24"/>
          </w:rPr>
          <w:t>Running head: ATOMIC ABSORPTION SPECTRO</w:t>
        </w:r>
        <w:r>
          <w:rPr>
            <w:rFonts w:ascii="Times New Roman" w:hAnsi="Times New Roman" w:cs="Times New Roman"/>
            <w:sz w:val="24"/>
            <w:szCs w:val="24"/>
          </w:rPr>
          <w:t xml:space="preserve">SCOPY                        </w:t>
        </w:r>
        <w:r w:rsidRPr="002837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37EE">
          <w:rPr>
            <w:rFonts w:ascii="Times New Roman" w:hAnsi="Times New Roman" w:cs="Times New Roman"/>
            <w:sz w:val="24"/>
            <w:szCs w:val="24"/>
          </w:rPr>
          <w:fldChar w:fldCharType="begin"/>
        </w:r>
        <w:r w:rsidRPr="002837EE">
          <w:rPr>
            <w:rFonts w:ascii="Times New Roman" w:hAnsi="Times New Roman" w:cs="Times New Roman"/>
            <w:sz w:val="24"/>
            <w:szCs w:val="24"/>
          </w:rPr>
          <w:instrText xml:space="preserve"> PAGE   \* MERGEFORMAT </w:instrText>
        </w:r>
        <w:r w:rsidRPr="002837EE">
          <w:rPr>
            <w:rFonts w:ascii="Times New Roman" w:hAnsi="Times New Roman" w:cs="Times New Roman"/>
            <w:sz w:val="24"/>
            <w:szCs w:val="24"/>
          </w:rPr>
          <w:fldChar w:fldCharType="separate"/>
        </w:r>
        <w:r w:rsidR="00490F3F">
          <w:rPr>
            <w:rFonts w:ascii="Times New Roman" w:hAnsi="Times New Roman" w:cs="Times New Roman"/>
            <w:noProof/>
            <w:sz w:val="24"/>
            <w:szCs w:val="24"/>
          </w:rPr>
          <w:t>1</w:t>
        </w:r>
        <w:r w:rsidRPr="002837EE">
          <w:rPr>
            <w:rFonts w:ascii="Times New Roman" w:hAnsi="Times New Roman" w:cs="Times New Roman"/>
            <w:noProof/>
            <w:sz w:val="24"/>
            <w:szCs w:val="24"/>
          </w:rPr>
          <w:fldChar w:fldCharType="end"/>
        </w:r>
      </w:p>
    </w:sdtContent>
  </w:sdt>
  <w:p w:rsidR="008A124B" w:rsidRPr="002837EE" w:rsidRDefault="008A124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20CD0"/>
    <w:multiLevelType w:val="hybridMultilevel"/>
    <w:tmpl w:val="01264756"/>
    <w:lvl w:ilvl="0" w:tplc="D698158C">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043339"/>
    <w:multiLevelType w:val="hybridMultilevel"/>
    <w:tmpl w:val="5A88854C"/>
    <w:lvl w:ilvl="0" w:tplc="4746B48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N7U0tzAyMTE2MLRQ0lEKTi0uzszPAykwqgUAdNyEcSwAAAA="/>
  </w:docVars>
  <w:rsids>
    <w:rsidRoot w:val="002837EE"/>
    <w:rsid w:val="00132912"/>
    <w:rsid w:val="002837EE"/>
    <w:rsid w:val="00285037"/>
    <w:rsid w:val="00490F3F"/>
    <w:rsid w:val="006D6519"/>
    <w:rsid w:val="0079344D"/>
    <w:rsid w:val="008A124B"/>
    <w:rsid w:val="009207C3"/>
    <w:rsid w:val="00962DBF"/>
    <w:rsid w:val="00AA4DAA"/>
    <w:rsid w:val="00D76B96"/>
    <w:rsid w:val="00E14904"/>
    <w:rsid w:val="00E355A4"/>
    <w:rsid w:val="00E514E1"/>
    <w:rsid w:val="00EF1B0B"/>
    <w:rsid w:val="00F033D7"/>
    <w:rsid w:val="00F570CC"/>
    <w:rsid w:val="00FF4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7EE"/>
  </w:style>
  <w:style w:type="paragraph" w:styleId="Footer">
    <w:name w:val="footer"/>
    <w:basedOn w:val="Normal"/>
    <w:link w:val="FooterChar"/>
    <w:uiPriority w:val="99"/>
    <w:unhideWhenUsed/>
    <w:rsid w:val="00283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7EE"/>
  </w:style>
  <w:style w:type="paragraph" w:styleId="NoSpacing">
    <w:name w:val="No Spacing"/>
    <w:link w:val="NoSpacingChar"/>
    <w:uiPriority w:val="1"/>
    <w:qFormat/>
    <w:rsid w:val="002837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837EE"/>
    <w:rPr>
      <w:rFonts w:eastAsiaTheme="minorEastAsia"/>
      <w:lang w:eastAsia="ja-JP"/>
    </w:rPr>
  </w:style>
  <w:style w:type="paragraph" w:styleId="BalloonText">
    <w:name w:val="Balloon Text"/>
    <w:basedOn w:val="Normal"/>
    <w:link w:val="BalloonTextChar"/>
    <w:uiPriority w:val="99"/>
    <w:semiHidden/>
    <w:unhideWhenUsed/>
    <w:rsid w:val="00283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7EE"/>
    <w:rPr>
      <w:rFonts w:ascii="Tahoma" w:hAnsi="Tahoma" w:cs="Tahoma"/>
      <w:sz w:val="16"/>
      <w:szCs w:val="16"/>
    </w:rPr>
  </w:style>
  <w:style w:type="paragraph" w:styleId="ListParagraph">
    <w:name w:val="List Paragraph"/>
    <w:basedOn w:val="Normal"/>
    <w:uiPriority w:val="34"/>
    <w:qFormat/>
    <w:rsid w:val="00E14904"/>
    <w:pPr>
      <w:ind w:left="720"/>
      <w:contextualSpacing/>
    </w:pPr>
  </w:style>
  <w:style w:type="table" w:styleId="TableGrid">
    <w:name w:val="Table Grid"/>
    <w:basedOn w:val="TableNormal"/>
    <w:uiPriority w:val="59"/>
    <w:rsid w:val="00E14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90F3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90F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7EE"/>
  </w:style>
  <w:style w:type="paragraph" w:styleId="Footer">
    <w:name w:val="footer"/>
    <w:basedOn w:val="Normal"/>
    <w:link w:val="FooterChar"/>
    <w:uiPriority w:val="99"/>
    <w:unhideWhenUsed/>
    <w:rsid w:val="00283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7EE"/>
  </w:style>
  <w:style w:type="paragraph" w:styleId="NoSpacing">
    <w:name w:val="No Spacing"/>
    <w:link w:val="NoSpacingChar"/>
    <w:uiPriority w:val="1"/>
    <w:qFormat/>
    <w:rsid w:val="002837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837EE"/>
    <w:rPr>
      <w:rFonts w:eastAsiaTheme="minorEastAsia"/>
      <w:lang w:eastAsia="ja-JP"/>
    </w:rPr>
  </w:style>
  <w:style w:type="paragraph" w:styleId="BalloonText">
    <w:name w:val="Balloon Text"/>
    <w:basedOn w:val="Normal"/>
    <w:link w:val="BalloonTextChar"/>
    <w:uiPriority w:val="99"/>
    <w:semiHidden/>
    <w:unhideWhenUsed/>
    <w:rsid w:val="00283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7EE"/>
    <w:rPr>
      <w:rFonts w:ascii="Tahoma" w:hAnsi="Tahoma" w:cs="Tahoma"/>
      <w:sz w:val="16"/>
      <w:szCs w:val="16"/>
    </w:rPr>
  </w:style>
  <w:style w:type="paragraph" w:styleId="ListParagraph">
    <w:name w:val="List Paragraph"/>
    <w:basedOn w:val="Normal"/>
    <w:uiPriority w:val="34"/>
    <w:qFormat/>
    <w:rsid w:val="00E14904"/>
    <w:pPr>
      <w:ind w:left="720"/>
      <w:contextualSpacing/>
    </w:pPr>
  </w:style>
  <w:style w:type="table" w:styleId="TableGrid">
    <w:name w:val="Table Grid"/>
    <w:basedOn w:val="TableNormal"/>
    <w:uiPriority w:val="59"/>
    <w:rsid w:val="00E14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90F3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90F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468140">
      <w:bodyDiv w:val="1"/>
      <w:marLeft w:val="0"/>
      <w:marRight w:val="0"/>
      <w:marTop w:val="0"/>
      <w:marBottom w:val="0"/>
      <w:divBdr>
        <w:top w:val="none" w:sz="0" w:space="0" w:color="auto"/>
        <w:left w:val="none" w:sz="0" w:space="0" w:color="auto"/>
        <w:bottom w:val="none" w:sz="0" w:space="0" w:color="auto"/>
        <w:right w:val="none" w:sz="0" w:space="0" w:color="auto"/>
      </w:divBdr>
      <w:divsChild>
        <w:div w:id="65229811">
          <w:marLeft w:val="0"/>
          <w:marRight w:val="0"/>
          <w:marTop w:val="0"/>
          <w:marBottom w:val="100"/>
          <w:divBdr>
            <w:top w:val="none" w:sz="0" w:space="0" w:color="auto"/>
            <w:left w:val="none" w:sz="0" w:space="0" w:color="auto"/>
            <w:bottom w:val="none" w:sz="0" w:space="0" w:color="auto"/>
            <w:right w:val="none" w:sz="0" w:space="0" w:color="auto"/>
          </w:divBdr>
          <w:divsChild>
            <w:div w:id="467287541">
              <w:marLeft w:val="0"/>
              <w:marRight w:val="0"/>
              <w:marTop w:val="100"/>
              <w:marBottom w:val="100"/>
              <w:divBdr>
                <w:top w:val="none" w:sz="0" w:space="0" w:color="auto"/>
                <w:left w:val="none" w:sz="0" w:space="0" w:color="auto"/>
                <w:bottom w:val="none" w:sz="0" w:space="0" w:color="auto"/>
                <w:right w:val="none" w:sz="0" w:space="0" w:color="auto"/>
              </w:divBdr>
              <w:divsChild>
                <w:div w:id="542985102">
                  <w:marLeft w:val="0"/>
                  <w:marRight w:val="0"/>
                  <w:marTop w:val="0"/>
                  <w:marBottom w:val="0"/>
                  <w:divBdr>
                    <w:top w:val="none" w:sz="0" w:space="0" w:color="auto"/>
                    <w:left w:val="none" w:sz="0" w:space="0" w:color="auto"/>
                    <w:bottom w:val="none" w:sz="0" w:space="0" w:color="auto"/>
                    <w:right w:val="none" w:sz="0" w:space="0" w:color="auto"/>
                  </w:divBdr>
                  <w:divsChild>
                    <w:div w:id="2130929428">
                      <w:marLeft w:val="0"/>
                      <w:marRight w:val="0"/>
                      <w:marTop w:val="450"/>
                      <w:marBottom w:val="450"/>
                      <w:divBdr>
                        <w:top w:val="none" w:sz="0" w:space="0" w:color="auto"/>
                        <w:left w:val="none" w:sz="0" w:space="0" w:color="auto"/>
                        <w:bottom w:val="none" w:sz="0" w:space="0" w:color="auto"/>
                        <w:right w:val="none" w:sz="0" w:space="0" w:color="auto"/>
                      </w:divBdr>
                      <w:divsChild>
                        <w:div w:id="986200285">
                          <w:marLeft w:val="0"/>
                          <w:marRight w:val="0"/>
                          <w:marTop w:val="0"/>
                          <w:marBottom w:val="0"/>
                          <w:divBdr>
                            <w:top w:val="none" w:sz="0" w:space="0" w:color="auto"/>
                            <w:left w:val="none" w:sz="0" w:space="0" w:color="auto"/>
                            <w:bottom w:val="none" w:sz="0" w:space="0" w:color="auto"/>
                            <w:right w:val="none" w:sz="0" w:space="0" w:color="auto"/>
                          </w:divBdr>
                          <w:divsChild>
                            <w:div w:id="940602251">
                              <w:marLeft w:val="0"/>
                              <w:marRight w:val="0"/>
                              <w:marTop w:val="0"/>
                              <w:marBottom w:val="0"/>
                              <w:divBdr>
                                <w:top w:val="none" w:sz="0" w:space="0" w:color="auto"/>
                                <w:left w:val="none" w:sz="0" w:space="0" w:color="auto"/>
                                <w:bottom w:val="none" w:sz="0" w:space="0" w:color="auto"/>
                                <w:right w:val="none" w:sz="0" w:space="0" w:color="auto"/>
                              </w:divBdr>
                              <w:divsChild>
                                <w:div w:id="1992758331">
                                  <w:marLeft w:val="0"/>
                                  <w:marRight w:val="0"/>
                                  <w:marTop w:val="0"/>
                                  <w:marBottom w:val="0"/>
                                  <w:divBdr>
                                    <w:top w:val="none" w:sz="0" w:space="0" w:color="auto"/>
                                    <w:left w:val="none" w:sz="0" w:space="0" w:color="auto"/>
                                    <w:bottom w:val="none" w:sz="0" w:space="0" w:color="auto"/>
                                    <w:right w:val="none" w:sz="0" w:space="0" w:color="auto"/>
                                  </w:divBdr>
                                  <w:divsChild>
                                    <w:div w:id="114435237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31B"/>
    <w:rsid w:val="0062131B"/>
    <w:rsid w:val="00D82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3853B730034986BA5A939BDFDE3EB4">
    <w:name w:val="8B3853B730034986BA5A939BDFDE3EB4"/>
    <w:rsid w:val="0062131B"/>
  </w:style>
  <w:style w:type="paragraph" w:customStyle="1" w:styleId="175E380B986E4545B39CE831FDCCFC3A">
    <w:name w:val="175E380B986E4545B39CE831FDCCFC3A"/>
    <w:rsid w:val="0062131B"/>
  </w:style>
  <w:style w:type="paragraph" w:customStyle="1" w:styleId="A18B200F679E4C009C7A624005EAAAB5">
    <w:name w:val="A18B200F679E4C009C7A624005EAAAB5"/>
    <w:rsid w:val="0062131B"/>
  </w:style>
  <w:style w:type="paragraph" w:customStyle="1" w:styleId="AF5F69E4D96C4B52B6AB07B355FF0A33">
    <w:name w:val="AF5F69E4D96C4B52B6AB07B355FF0A33"/>
    <w:rsid w:val="0062131B"/>
  </w:style>
  <w:style w:type="paragraph" w:customStyle="1" w:styleId="1747F22DB6C142B4B5B5D65F62E28156">
    <w:name w:val="1747F22DB6C142B4B5B5D65F62E28156"/>
    <w:rsid w:val="0062131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3853B730034986BA5A939BDFDE3EB4">
    <w:name w:val="8B3853B730034986BA5A939BDFDE3EB4"/>
    <w:rsid w:val="0062131B"/>
  </w:style>
  <w:style w:type="paragraph" w:customStyle="1" w:styleId="175E380B986E4545B39CE831FDCCFC3A">
    <w:name w:val="175E380B986E4545B39CE831FDCCFC3A"/>
    <w:rsid w:val="0062131B"/>
  </w:style>
  <w:style w:type="paragraph" w:customStyle="1" w:styleId="A18B200F679E4C009C7A624005EAAAB5">
    <w:name w:val="A18B200F679E4C009C7A624005EAAAB5"/>
    <w:rsid w:val="0062131B"/>
  </w:style>
  <w:style w:type="paragraph" w:customStyle="1" w:styleId="AF5F69E4D96C4B52B6AB07B355FF0A33">
    <w:name w:val="AF5F69E4D96C4B52B6AB07B355FF0A33"/>
    <w:rsid w:val="0062131B"/>
  </w:style>
  <w:style w:type="paragraph" w:customStyle="1" w:styleId="1747F22DB6C142B4B5B5D65F62E28156">
    <w:name w:val="1747F22DB6C142B4B5B5D65F62E28156"/>
    <w:rsid w:val="006213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6</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5</cp:revision>
  <dcterms:created xsi:type="dcterms:W3CDTF">2019-10-17T08:52:00Z</dcterms:created>
  <dcterms:modified xsi:type="dcterms:W3CDTF">2019-10-17T13:04:00Z</dcterms:modified>
</cp:coreProperties>
</file>